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tLeast"/>
        <w:jc w:val="center"/>
        <w:rPr>
          <w:rFonts w:hint="default" w:ascii="Times New Roman" w:hAnsi="Times New Roman" w:eastAsia="华文中宋" w:cs="Times New Roman"/>
          <w:b/>
          <w:color w:val="auto"/>
          <w:sz w:val="72"/>
          <w:szCs w:val="72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院通〔202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</w:p>
    <w:p>
      <w:pPr>
        <w:widowControl w:val="0"/>
        <w:adjustRightInd/>
        <w:snapToGrid/>
        <w:spacing w:after="0"/>
        <w:jc w:val="both"/>
        <w:rPr>
          <w:rFonts w:hint="default" w:ascii="Times New Roman" w:hAnsi="Times New Roman" w:eastAsia="仿宋_GB2312" w:cs="Times New Roman"/>
          <w:bCs/>
          <w:color w:val="auto"/>
          <w:kern w:val="2"/>
          <w:sz w:val="24"/>
          <w:szCs w:val="24"/>
        </w:rPr>
      </w:pPr>
    </w:p>
    <w:p>
      <w:pPr>
        <w:spacing w:line="64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关于开设湖南师范大学202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44"/>
          <w:szCs w:val="44"/>
        </w:rPr>
        <w:t>年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选修</w:t>
      </w:r>
      <w:r>
        <w:rPr>
          <w:rFonts w:hint="default" w:ascii="Times New Roman" w:hAnsi="Times New Roman" w:eastAsia="黑体" w:cs="Times New Roman"/>
          <w:sz w:val="44"/>
          <w:szCs w:val="44"/>
        </w:rPr>
        <w:t>课程</w:t>
      </w:r>
    </w:p>
    <w:p>
      <w:pPr>
        <w:widowControl/>
        <w:spacing w:after="100" w:afterAutospacing="1" w:line="64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《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研究生心理健康教育</w:t>
      </w:r>
      <w:r>
        <w:rPr>
          <w:rFonts w:hint="default" w:ascii="Times New Roman" w:hAnsi="Times New Roman" w:eastAsia="黑体" w:cs="Times New Roman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各相关学院：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为为全面落实立德树人根本任务，深化研究生课程建设改革，拓宽研究生知识面，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</w:rPr>
        <w:t>优化研究生知识结构，提高研究生培养质量，拟开设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课程《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研究生心理健康教育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》,现将相关工作通知如下：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课程介绍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本课程的开设，提升研究生心理健康水平，促进其发展更加成功、快乐的人生。（1）让研究生可以更好地应对压力和焦虑等负性情绪，在学习生活中保持冷静和专注；（2）改善研究生的沟通技巧，从而提高其人际适应性；（3）改变研究生可能具有的负面思维模式和行为习惯，促进个人成长和积极改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二、开课时间及开课地点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开课时间：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5月16日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待定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三、授课对象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不同学科方向的研究生（含心理学专业）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四、课程考核与学分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面向全校研究生开通选修。课程考核按普通课程要求进行，考核合格，可计1学分，可兑换培养计划内任意选修课学分。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Style w:val="6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Style w:val="6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五</w:t>
      </w:r>
      <w:r>
        <w:rPr>
          <w:rStyle w:val="6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、网上选课要求及操作流程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网上选课时间为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日。网上选课要求及操作流程详见附件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六、其它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研究生心理健康教育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选修课程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课程是我校研究生课程教学改革的重要举措，各学院应高度重视该项工作，将课程开课情况及时通知每一位研究生，并积极组织研究生选修。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研究生选修相应课程后，应按照研究生院及开课平台要求，认真进行网上修课，严格按要求完成网上课程考核，并自觉遵守相关纪律。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附件：1.主讲教师简介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2.课程实施方案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3.课程教学大纲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4.网上选课操作流程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60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主讲教师简介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陈永香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心理学博士，毕业于中国科学院心理研究所，现为湖南师范大学教育科学学院心理学系副教授，硕士研究生导师。在《心理学报》、《心理科学》等国内外核心期刊发表多篇学术论文并担任审稿专家，专业资质包括国家二级心理咨询师、美国“正面管教”认证讲师、国际行为发展研究会(ISSBD)会员等。陈永香老师的研究方向为儿童语言与社会性发展，同时也关注青年期发展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永香老师主讲的本科生课程包括：《发展心理学》、《实验心理学》、《教育心理学》；主讲的研究生课程包括：《教育心理学研究进展》、《心理学实验设计》、《研究生心理健康教育》等。授课风格亲和力高，课程风格互动性较强，注重学生的课堂参与和体验式学习，学生评课评价较好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陈永香老师从事的社会服务工作包括：（1）儿童青少年心理咨询；（2）家长和教师培训；（3）医院心理测评研发等。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default" w:ascii="Times New Roman" w:hAnsi="Times New Roman" w:cs="Times New Roman"/>
          <w:kern w:val="0"/>
          <w:sz w:val="24"/>
          <w:lang w:val="zh-CN"/>
        </w:rPr>
      </w:pPr>
    </w:p>
    <w:p>
      <w:pPr>
        <w:spacing w:line="36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36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3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课程实施方案</w:t>
      </w:r>
    </w:p>
    <w:p>
      <w:pPr>
        <w:spacing w:line="3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cs="Times New Roman"/>
          <w:b/>
          <w:color w:val="000000"/>
          <w:position w:val="6"/>
          <w:sz w:val="24"/>
        </w:rPr>
      </w:pPr>
      <w:r>
        <w:rPr>
          <w:rFonts w:hint="default" w:ascii="Times New Roman" w:hAnsi="Times New Roman" w:cs="Times New Roman"/>
          <w:b/>
          <w:color w:val="000000"/>
          <w:position w:val="6"/>
          <w:sz w:val="24"/>
        </w:rPr>
        <w:t>课程目的：</w:t>
      </w:r>
    </w:p>
    <w:p>
      <w:pPr>
        <w:spacing w:line="360" w:lineRule="exact"/>
        <w:ind w:firstLine="481"/>
        <w:rPr>
          <w:rFonts w:hint="default" w:ascii="Times New Roman" w:hAnsi="Times New Roman" w:eastAsia="宋体" w:cs="Times New Roman"/>
          <w:color w:val="000000"/>
          <w:position w:val="6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position w:val="6"/>
          <w:sz w:val="24"/>
          <w:szCs w:val="24"/>
          <w:lang w:val="en-US" w:eastAsia="zh-CN"/>
        </w:rPr>
        <w:t>通过本课程的开设，提升研究生心理健康水平，促进其发展更加成功、快乐的人生。（1）在让研究生可以更好地应对压力和焦虑等负性情绪，在学习生活中保持冷静和专注；（2）改善研究生的沟通技巧，从而提高其人际适应性；（3）改变研究生可能具有的负面思维模式和行为习惯，促进个人成长和积极改变。</w:t>
      </w:r>
    </w:p>
    <w:p>
      <w:pPr>
        <w:spacing w:line="360" w:lineRule="exact"/>
        <w:rPr>
          <w:rFonts w:hint="default" w:ascii="Times New Roman" w:hAnsi="Times New Roman" w:cs="Times New Roman"/>
          <w:b/>
          <w:color w:val="000000"/>
          <w:position w:val="6"/>
          <w:sz w:val="24"/>
        </w:rPr>
      </w:pPr>
      <w:r>
        <w:rPr>
          <w:rFonts w:hint="default" w:ascii="Times New Roman" w:hAnsi="Times New Roman" w:cs="Times New Roman"/>
          <w:b/>
          <w:color w:val="000000"/>
          <w:position w:val="6"/>
          <w:sz w:val="24"/>
        </w:rPr>
        <w:t>课程内容：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一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什么是NLP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NLP的中英文概念界定，NLP是一门什么样的学问，NLP的发展历史和现实应用，NLP的12条前提假设，NLP的关键术语解释。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重点是掌握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NLP的12条前提假设，以及NLP的基本术语的意义。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NLP的关键术语掌握。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预读序言和第一章教材内容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《重塑心灵》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二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信念系统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本章主要介绍信念和价值观对个体的影响，以及改变信念系统的技巧。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重点是区分什么是信念和价值观。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难点是掌握改变信念系统的技巧。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预读第二章教材内容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《重塑心灵》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三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自我价值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本章主要介绍身份、角色和自我价值的关系，自信、自爱与自尊的关系，自我价值不足的原因分析，建立自我价值的方法。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重点是掌握自我价值的概念和影响因素。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难点是理解自信、自爱与自尊的关系。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预读第三章教材内容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《重塑心灵》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四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系统与理解层次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本章主要介绍身份、角色和自我价值的关系，三赢的价值，自信、自爱与自尊的关系，自我价值不足的原因分析，建立自我价值的方法。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重点是掌握三赢的概念。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难点是理解自信、自爱与自尊的关系。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预读第四章教材内容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《重塑心灵》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五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大脑的运作与潜意识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本章主要介绍大脑的运作方式、意识与潜意识的作用方式、如何与潜意识沟通、如何消除压力。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重点是掌握大脑的运作方式、理解潜意识的作用方式。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难点是学会与潜意识沟通。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预读第五章教材内容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《重塑心灵》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六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内感官与经验元素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本章主要介绍内感官的不同类型、提升方式，经验元素的界定和改变方式，以及时间线概念。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重点是内感官和经验元素的掌握。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难点是时间线的概念。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预读第六章教材内容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《重塑心灵》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七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沟通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本章主要介绍沟通的含义和前提条件，什么决定了沟通的效果，以及沟通中需要注意的问题。补充介绍非暴力沟通的要义和练习方式。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重点是掌握沟通效果的影响因素。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难点是掌握沟通的实际方法。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预读第七章教材内容、阅读《非暴力沟通》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马歇尔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.卢森堡.《非暴力沟通》.出版社：华夏出版社，2009年版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八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检定语言模式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本章主要介绍正面语言的使用、检定语言模式的不同类型、以及注意事项。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重点是正面语言的使用。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难点是时间线的概念。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预读第八章教材内容，阅读《语言的魔力》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罗伯特.迪尔茨.《语言的魔力》.出版社：世界图书出版公司北京分公司，2008年版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九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情绪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本章主要介绍对常见正面情绪和负面情绪的认识，解读情绪背后的意义，掌握情绪管理的基本方法。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重点是认识负性情绪背后的意义。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难点是掌握情绪管理的方法。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预读第九章教材内容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《重塑心灵》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十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缔造成功快乐的人生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本章主要介绍自我整合与力量提升的方法，处理焦虑和时间压力的方法等。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重点是自我整合与力量提升方法。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难点是掌握处理时间压力的方法。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预读第十章教材内容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《重塑心灵》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spacing w:line="360" w:lineRule="exact"/>
        <w:rPr>
          <w:rFonts w:hint="default" w:ascii="Times New Roman" w:hAnsi="Times New Roman" w:cs="Times New Roman"/>
          <w:color w:val="000000"/>
          <w:position w:val="6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position w:val="6"/>
          <w:sz w:val="24"/>
        </w:rPr>
        <w:t>教学计划：</w:t>
      </w:r>
      <w:r>
        <w:rPr>
          <w:rFonts w:hint="default" w:ascii="Times New Roman" w:hAnsi="Times New Roman" w:cs="Times New Roman"/>
          <w:color w:val="000000"/>
          <w:position w:val="6"/>
          <w:sz w:val="24"/>
        </w:rPr>
        <w:t xml:space="preserve"> </w:t>
      </w:r>
    </w:p>
    <w:tbl>
      <w:tblPr>
        <w:tblStyle w:val="4"/>
        <w:tblW w:w="85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3554"/>
        <w:gridCol w:w="1081"/>
        <w:gridCol w:w="1082"/>
        <w:gridCol w:w="1082"/>
        <w:gridCol w:w="1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3554" w:type="dxa"/>
            <w:vMerge w:val="restar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教学内容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课堂讲课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实践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课堂讨论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课外自学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554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学时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学时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学时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第一章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 xml:space="preserve"> 什么是NLP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信念系统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自我价值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第四章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 xml:space="preserve"> 系统与理解层次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第五章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 xml:space="preserve"> 大脑的运作与潜意识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eastAsia="zh-CN"/>
              </w:rPr>
              <w:t>第六章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 xml:space="preserve"> 内感官与经验元素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eastAsia="zh-CN"/>
              </w:rPr>
              <w:t>第七章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 xml:space="preserve"> 沟通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eastAsia="zh-CN"/>
              </w:rPr>
              <w:t>第八章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 xml:space="preserve"> 检定语言模式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情绪</w:t>
            </w:r>
          </w:p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缔造成功快乐的人生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b/>
          <w:color w:val="000000"/>
          <w:position w:val="6"/>
          <w:sz w:val="24"/>
        </w:rPr>
      </w:pPr>
      <w:r>
        <w:rPr>
          <w:rFonts w:hint="default" w:ascii="Times New Roman" w:hAnsi="Times New Roman" w:cs="Times New Roman"/>
          <w:b/>
          <w:color w:val="000000"/>
          <w:position w:val="6"/>
          <w:sz w:val="24"/>
        </w:rPr>
        <w:t>课程考核：</w:t>
      </w:r>
    </w:p>
    <w:p>
      <w:pPr>
        <w:spacing w:line="360" w:lineRule="exact"/>
        <w:ind w:firstLine="480" w:firstLineChars="200"/>
        <w:rPr>
          <w:rFonts w:hint="default" w:ascii="Times New Roman" w:hAnsi="Times New Roman" w:eastAsia="宋体" w:cs="Times New Roman"/>
          <w:b w:val="0"/>
          <w:bCs/>
          <w:color w:val="000000"/>
          <w:position w:val="6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position w:val="6"/>
          <w:sz w:val="24"/>
          <w:lang w:val="en-US" w:eastAsia="zh-CN"/>
        </w:rPr>
        <w:t>平时成绩主要</w:t>
      </w:r>
      <w:r>
        <w:rPr>
          <w:rFonts w:hint="default" w:ascii="Times New Roman" w:hAnsi="Times New Roman" w:eastAsia="宋体" w:cs="Times New Roman"/>
          <w:b w:val="0"/>
          <w:bCs/>
          <w:color w:val="000000"/>
          <w:position w:val="6"/>
          <w:sz w:val="24"/>
          <w:lang w:val="en-US" w:eastAsia="zh-CN"/>
        </w:rPr>
        <w:t>包括出勤和</w:t>
      </w:r>
      <w:r>
        <w:rPr>
          <w:rFonts w:hint="default" w:ascii="Times New Roman" w:hAnsi="Times New Roman" w:cs="Times New Roman"/>
          <w:b w:val="0"/>
          <w:bCs/>
          <w:color w:val="000000"/>
          <w:position w:val="6"/>
          <w:sz w:val="24"/>
          <w:lang w:val="en-US" w:eastAsia="zh-CN"/>
        </w:rPr>
        <w:t>课堂参与度等，占比40%；期末考核为课程论文形式，占比60%。</w:t>
      </w:r>
    </w:p>
    <w:p>
      <w:pPr>
        <w:spacing w:line="360" w:lineRule="exact"/>
        <w:rPr>
          <w:rFonts w:hint="default" w:ascii="Times New Roman" w:hAnsi="Times New Roman" w:cs="Times New Roman"/>
          <w:b/>
          <w:color w:val="000000"/>
          <w:position w:val="6"/>
          <w:sz w:val="24"/>
        </w:rPr>
      </w:pPr>
      <w:r>
        <w:rPr>
          <w:rFonts w:hint="default" w:ascii="Times New Roman" w:hAnsi="Times New Roman" w:cs="Times New Roman"/>
          <w:b/>
          <w:color w:val="000000"/>
          <w:position w:val="6"/>
          <w:sz w:val="24"/>
        </w:rPr>
        <w:t>学员选拔方法：</w:t>
      </w:r>
    </w:p>
    <w:p>
      <w:pPr>
        <w:spacing w:line="360" w:lineRule="exact"/>
        <w:rPr>
          <w:rFonts w:hint="default" w:ascii="Times New Roman" w:hAnsi="Times New Roman" w:eastAsia="宋体" w:cs="Times New Roman"/>
          <w:b/>
          <w:color w:val="000000"/>
          <w:position w:val="6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position w:val="6"/>
          <w:sz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 w:val="0"/>
          <w:bCs/>
          <w:color w:val="000000"/>
          <w:position w:val="6"/>
          <w:sz w:val="24"/>
          <w:lang w:val="en-US" w:eastAsia="zh-CN"/>
        </w:rPr>
        <w:t>不同专业研究生可自愿参加，包括心理学专业研究生，学生提供报名理由。</w:t>
      </w:r>
    </w:p>
    <w:p>
      <w:pPr>
        <w:spacing w:line="360" w:lineRule="exact"/>
        <w:rPr>
          <w:rFonts w:hint="default" w:ascii="Times New Roman" w:hAnsi="Times New Roman" w:cs="Times New Roman"/>
          <w:b/>
          <w:color w:val="000000"/>
          <w:position w:val="6"/>
          <w:sz w:val="24"/>
        </w:rPr>
      </w:pPr>
      <w:r>
        <w:rPr>
          <w:rFonts w:hint="default" w:ascii="Times New Roman" w:hAnsi="Times New Roman" w:cs="Times New Roman"/>
          <w:b/>
          <w:color w:val="000000"/>
          <w:position w:val="6"/>
          <w:sz w:val="24"/>
        </w:rPr>
        <w:t>课程管理：</w:t>
      </w: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position w:val="6"/>
          <w:sz w:val="24"/>
          <w:lang w:val="en-US" w:eastAsia="zh-CN"/>
        </w:rPr>
        <w:t>教科院陈永香老师为课程负责人，全面负责课程的管理与协调、组织上课、期末考核等工作。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3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课程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教学大纲</w:t>
      </w:r>
    </w:p>
    <w:p>
      <w:pPr>
        <w:widowControl/>
        <w:adjustRightInd w:val="0"/>
        <w:snapToGrid w:val="0"/>
        <w:ind w:firstLine="415" w:firstLineChars="198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adjustRightInd w:val="0"/>
        <w:snapToGrid w:val="0"/>
        <w:ind w:firstLine="415" w:firstLineChars="198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adjustRightInd w:val="0"/>
        <w:snapToGrid w:val="0"/>
        <w:ind w:firstLine="415" w:firstLineChars="198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adjustRightInd w:val="0"/>
        <w:snapToGrid w:val="0"/>
        <w:ind w:firstLine="415" w:firstLineChars="198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napToGrid w:val="0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  <w:t>《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lang w:eastAsia="zh-CN"/>
        </w:rPr>
        <w:t>研究生心理健康教育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  <w:t>》教学大纲</w:t>
      </w:r>
    </w:p>
    <w:p>
      <w:pPr>
        <w:widowControl/>
        <w:snapToGrid w:val="0"/>
        <w:jc w:val="center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  <w:t>Course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  <w:t>Outline of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  <w:t>Postgraduate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  <w:t>Mental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  <w:t>Health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0"/>
          <w:szCs w:val="30"/>
        </w:rPr>
        <w:t>Education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  <w:t>第一部分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  <w:t>大纲说明</w:t>
      </w:r>
    </w:p>
    <w:p>
      <w:pPr>
        <w:widowControl/>
        <w:adjustRightInd w:val="0"/>
        <w:snapToGrid w:val="0"/>
        <w:ind w:firstLine="417" w:firstLineChars="198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．课程代码：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Cs w:val="21"/>
        </w:rPr>
        <w:t>X00000001</w:t>
      </w:r>
    </w:p>
    <w:p>
      <w:pPr>
        <w:widowControl/>
        <w:adjustRightInd w:val="0"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．课程类型：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任意选修课</w:t>
      </w:r>
    </w:p>
    <w:p>
      <w:pPr>
        <w:widowControl/>
        <w:adjustRightInd w:val="0"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．开课时间：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春季学期或秋季学期，第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5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周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—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第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12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周</w:t>
      </w:r>
    </w:p>
    <w:p>
      <w:pPr>
        <w:widowControl/>
        <w:adjustRightInd w:val="0"/>
        <w:snapToGrid w:val="0"/>
        <w:ind w:firstLine="422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．课程目标：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提升研究生心理健康水平，促进其发展更加成功、快乐的人生。</w:t>
      </w:r>
    </w:p>
    <w:p>
      <w:pPr>
        <w:widowControl/>
        <w:adjustRightInd w:val="0"/>
        <w:snapToGrid w:val="0"/>
        <w:ind w:firstLine="316" w:firstLineChars="150"/>
        <w:jc w:val="left"/>
        <w:rPr>
          <w:rFonts w:hint="default" w:ascii="Times New Roman" w:hAnsi="Times New Roman" w:eastAsia="宋体" w:cs="Times New Roman"/>
          <w:color w:val="333333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 xml:space="preserve"> 5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．面向学科：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Cs w:val="21"/>
          <w:lang w:eastAsia="zh-CN"/>
        </w:rPr>
        <w:t>面向不同学科方向的研究生。</w:t>
      </w:r>
    </w:p>
    <w:p>
      <w:pPr>
        <w:widowControl/>
        <w:adjustRightInd w:val="0"/>
        <w:snapToGrid w:val="0"/>
        <w:ind w:firstLine="422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6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．考核方式：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考查，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学期末提交个人成长论文。</w:t>
      </w:r>
    </w:p>
    <w:p>
      <w:pPr>
        <w:widowControl/>
        <w:adjustRightInd w:val="0"/>
        <w:snapToGrid w:val="0"/>
        <w:ind w:firstLine="422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7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．预修课程：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无</w:t>
      </w:r>
    </w:p>
    <w:p>
      <w:pPr>
        <w:widowControl/>
        <w:adjustRightInd w:val="0"/>
        <w:snapToGrid w:val="0"/>
        <w:ind w:firstLine="422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kern w:val="0"/>
          <w:szCs w:val="21"/>
        </w:rPr>
        <w:t xml:space="preserve">8. </w:t>
      </w:r>
      <w:r>
        <w:rPr>
          <w:rFonts w:hint="default" w:ascii="Times New Roman" w:hAnsi="Times New Roman" w:cs="Times New Roman"/>
          <w:b/>
          <w:color w:val="000000"/>
          <w:kern w:val="0"/>
          <w:szCs w:val="21"/>
        </w:rPr>
        <w:t>教学方式：</w:t>
      </w:r>
      <w:r>
        <w:rPr>
          <w:rFonts w:hint="default" w:ascii="Times New Roman" w:hAnsi="Times New Roman" w:cs="Times New Roman"/>
          <w:b w:val="0"/>
          <w:bCs/>
          <w:color w:val="000000"/>
          <w:kern w:val="0"/>
          <w:szCs w:val="21"/>
          <w:lang w:eastAsia="zh-CN"/>
        </w:rPr>
        <w:t>讲授法、互动式教学、体验式学习</w:t>
      </w:r>
    </w:p>
    <w:p>
      <w:pPr>
        <w:widowControl/>
        <w:adjustRightInd w:val="0"/>
        <w:snapToGrid w:val="0"/>
        <w:ind w:firstLine="316" w:firstLineChars="15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 xml:space="preserve"> 9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．学时学分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  <w:lang w:val="en-US" w:eastAsia="zh-CN"/>
        </w:rPr>
        <w:t>2学分，共计32课时</w:t>
      </w:r>
    </w:p>
    <w:tbl>
      <w:tblPr>
        <w:tblStyle w:val="4"/>
        <w:tblW w:w="85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3554"/>
        <w:gridCol w:w="1081"/>
        <w:gridCol w:w="1082"/>
        <w:gridCol w:w="1082"/>
        <w:gridCol w:w="1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3554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教学内容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课堂讲课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实践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课堂讨论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课外自学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554" w:type="dxa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学时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学时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学时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第一章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 xml:space="preserve"> 什么是NLP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54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信念系统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自我价值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5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第四章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 xml:space="preserve"> 系统与理解层次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5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第五章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 xml:space="preserve"> 大脑的运作与潜意识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5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eastAsia="zh-CN"/>
              </w:rPr>
              <w:t>第六章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 xml:space="preserve"> 内感官与经验元素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5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eastAsia="zh-CN"/>
              </w:rPr>
              <w:t>第七章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 xml:space="preserve"> 沟通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5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eastAsia="zh-CN"/>
              </w:rPr>
              <w:t>第八章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 xml:space="preserve"> 检定语言模式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554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情绪</w:t>
            </w:r>
          </w:p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缔造成功快乐的人生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35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ind w:firstLine="417" w:firstLineChars="198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0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 xml:space="preserve">.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教材及教学参考资料：</w:t>
      </w:r>
    </w:p>
    <w:p>
      <w:pPr>
        <w:widowControl/>
        <w:adjustRightInd w:val="0"/>
        <w:snapToGrid w:val="0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教材：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《重塑心灵：每个人都拥有让自己成功快乐的能力》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adjustRightInd w:val="0"/>
        <w:snapToGrid w:val="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参考资料：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333333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《简快身心积极疗法》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马歇尔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.卢森堡.《非暴力沟通》.出版社：华夏出版社，2009年版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罗伯特.迪尔茨.《语言的魔力》.出版社：世界图书出版公司北京分公司，2008年版</w:t>
      </w: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widowControl/>
        <w:jc w:val="center"/>
        <w:rPr>
          <w:rFonts w:hint="default" w:ascii="Times New Roman" w:hAnsi="Times New Roman" w:cs="Times New Roman"/>
          <w:color w:val="333333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  <w:t>第二部分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  <w:t>教学内容和教学要求</w:t>
      </w:r>
    </w:p>
    <w:p>
      <w:pPr>
        <w:widowControl/>
        <w:spacing w:line="360" w:lineRule="atLeast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对本课程教学内容和目的作简单概述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：（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通过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课程的学习，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旨在让研究生可以更好地应对压力和焦虑等负性情绪，在学习生活中更多保持冷静和专注；（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）改善研究生的沟通技巧，从而提高其人际适应性；（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）改变研究生可能具有的负面思维模式和行为习惯，促进个人成长和积极改变。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一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什么是NLP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NLP的中英文概念界定，NLP是一门什么样的学问，NLP的发展历史和现实应用，NLP的12条前提假设，NLP的关键术语解释。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重点是掌握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NLP的12条前提假设，以及NLP的基本术语的意义。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NLP的关键术语掌握。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预读序言和第一章教材内容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《简快身心积极疗法》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</w:pP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二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信念系统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本章主要介绍信念和价值观对个体的影响，以及改变信念系统的技巧。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重点是区分什么是信念和价值观。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难点是掌握改变信念系统的技巧。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预读第二章教材内容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《简快身心积极疗法》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</w:pP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三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自我价值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本章主要介绍身份、角色和自我价值的关系，自信、自爱与自尊的关系，自我价值不足的原因分析，建立自我价值的方法。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重点是掌握自我价值的概念和影响因素。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难点是理解自信、自爱与自尊的关系。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预读第三章教材内容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《简快身心积极疗法》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</w:pP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四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系统与理解层次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本章主要介绍身份、角色和自我价值的关系，三赢的价值，自信、自爱与自尊的关系，自我价值不足的原因分析，建立自我价值的方法。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重点是掌握三赢的概念。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难点是理解自信、自爱与自尊的关系。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预读第四章教材内容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《简快身心积极疗法》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</w:pP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五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大脑的运作与潜意识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本章主要介绍大脑的运作方式、意识与潜意识的作用方式、如何与潜意识沟通、如何消除压力。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重点是掌握大脑的运作方式、理解潜意识的作用方式。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难点是学会与潜意识沟通。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预读第五章教材内容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《简快身心积极疗法》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</w:pP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六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内感官与经验元素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本章主要介绍内感官的不同类型、提升方式，经验元素的界定和改变方式，以及时间线概念。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重点是内感官和经验元素的掌握。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难点是时间线的概念。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预读第六章教材内容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333333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《简快身心积极疗法》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</w:pP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七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沟通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本章主要介绍沟通的含义和前提条件，什么决定了沟通的效果，以及沟通中需要注意的问题。补充介绍非暴力沟通的要义和练习方式。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重点是掌握沟通效果的影响因素。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难点是掌握沟通的实际方法。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预读第七章教材内容、阅读《非暴力沟通》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马歇尔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.卢森堡.《非暴力沟通》.出版社：华夏出版社，2009年版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</w:pP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八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检定语言模式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本章主要介绍正面语言的使用、检定语言模式的不同类型、以及注意事项。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重点是正面语言的使用。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难点是时间线的概念。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预读第八章教材内容，阅读《语言的魔力》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罗伯特.迪尔茨.《语言的魔力》.出版社：世界图书出版公司北京分公司，2008年版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</w:pP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九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情绪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本章主要介绍对常见正面情绪和负面情绪的认识，解读情绪背后的意义，掌握情绪管理的基本方法。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重点是认识负性情绪背后的意义。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难点是掌握情绪管理的方法。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预读第九章和第十章教材内容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《简快身心积极疗法》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</w:pP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color w:val="333333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第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eastAsia="zh-CN"/>
        </w:rPr>
        <w:t>十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章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缔造成功快乐的人生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．本章主要内容：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本章主要介绍自我整合与力量提升的方法，处理焦虑和时间压力的方法等。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．本章的重点与难点、需掌握的主要知识：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重点是自我整合与力量提升方法。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难点是掌握处理时间压力的方法。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．预备知识要求</w:t>
      </w: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预读第九章和第十章教材内容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snapToGrid w:val="0"/>
        <w:ind w:firstLine="422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．主要参考资料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李中莹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《简快身心积极疗法》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.出版社：民主与建设出版社，2019年版</w:t>
      </w: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bookmarkStart w:id="0" w:name="_Hlk56603376"/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网上选课操作流程</w:t>
      </w:r>
    </w:p>
    <w:bookmarkEnd w:id="0"/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7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一、登录学生界面。</w:t>
      </w:r>
    </w:p>
    <w:p>
      <w:pPr>
        <w:pStyle w:val="7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24"/>
        </w:rPr>
        <w:drawing>
          <wp:inline distT="0" distB="0" distL="114300" distR="114300">
            <wp:extent cx="5238750" cy="2999740"/>
            <wp:effectExtent l="0" t="0" r="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二、依次点击“培养管理”-&gt;“学生网上选课”。</w:t>
      </w:r>
    </w:p>
    <w:p>
      <w:pPr>
        <w:pStyle w:val="7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24"/>
        </w:rPr>
        <w:drawing>
          <wp:inline distT="0" distB="0" distL="114300" distR="114300">
            <wp:extent cx="5257800" cy="3402965"/>
            <wp:effectExtent l="0" t="0" r="0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三、找到课程，点击“选课”，进行选课。</w:t>
      </w:r>
    </w:p>
    <w:p>
      <w:pPr>
        <w:pStyle w:val="7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drawing>
          <wp:inline distT="0" distB="0" distL="114300" distR="114300">
            <wp:extent cx="5274310" cy="2816225"/>
            <wp:effectExtent l="0" t="0" r="2540" b="3175"/>
            <wp:docPr id="3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四、选课成功后，等待研究生院审核，审核通过后，学生可在“选课结果查询”中查到该门课程。</w:t>
      </w:r>
    </w:p>
    <w:p>
      <w:pPr>
        <w:pStyle w:val="7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drawing>
          <wp:inline distT="0" distB="0" distL="114300" distR="114300">
            <wp:extent cx="5274945" cy="2781935"/>
            <wp:effectExtent l="0" t="0" r="1905" b="18415"/>
            <wp:docPr id="4" name="图片 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rcRect t="10860" r="-157" b="4630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-161290</wp:posOffset>
              </wp:positionV>
              <wp:extent cx="552450" cy="29273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12.7pt;height:23.05pt;width:43.5pt;mso-position-horizontal:outside;mso-position-horizontal-relative:margin;z-index:251659264;mso-width-relative:page;mso-height-relative:page;" filled="f" stroked="f" coordsize="21600,21600" o:gfxdata="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Jf9B9YAAAAGAQAADwAAAAAAAAABACAAAAAiAAAAZHJzL2Rvd25yZXYu&#10;eG1sUEsBAhQAFAAAAAgAh07iQO5csHvEAQAAf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F38963"/>
    <w:multiLevelType w:val="singleLevel"/>
    <w:tmpl w:val="C4F38963"/>
    <w:lvl w:ilvl="0" w:tentative="0">
      <w:start w:val="9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16034F68"/>
    <w:multiLevelType w:val="singleLevel"/>
    <w:tmpl w:val="16034F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A83395"/>
    <w:multiLevelType w:val="singleLevel"/>
    <w:tmpl w:val="5EA83395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Y2JmYzAzOWIxYjk4MjNhMmNjZGEzYzQ4NDA5NGEifQ=="/>
  </w:docVars>
  <w:rsids>
    <w:rsidRoot w:val="33BD3D79"/>
    <w:rsid w:val="0047624A"/>
    <w:rsid w:val="1C8607C2"/>
    <w:rsid w:val="33BD3D79"/>
    <w:rsid w:val="35A77314"/>
    <w:rsid w:val="72D82DA2"/>
    <w:rsid w:val="752C50E5"/>
    <w:rsid w:val="7AC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2024-03-05T02:39:00Z</dcterms:created>
  <dc:creator>LENOVO</dc:creator>
  <cp:lastModifiedBy>六木</cp:lastModifiedBy>
  <dcterms:modified xsi:type="dcterms:W3CDTF">2024-03-11T01:17:21Z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E793F631C117454190F8F3D3AE681AA0_11</vt:lpwstr>
  </property>
</Properties>
</file>