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" w:lineRule="atLeast"/>
        <w:jc w:val="center"/>
        <w:rPr>
          <w:rFonts w:hint="default" w:ascii="Times New Roman" w:hAnsi="Times New Roman" w:eastAsia="华文中宋" w:cs="Times New Roman"/>
          <w:b/>
          <w:color w:val="FF0000"/>
          <w:sz w:val="72"/>
          <w:szCs w:val="72"/>
        </w:rPr>
      </w:pPr>
    </w:p>
    <w:p>
      <w:pPr>
        <w:jc w:val="center"/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院通〔202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default" w:ascii="Times New Roman" w:hAnsi="Times New Roman" w:eastAsia="仿宋_GB2312" w:cs="Times New Roman"/>
          <w:bCs/>
          <w:kern w:val="2"/>
          <w:sz w:val="24"/>
          <w:szCs w:val="24"/>
        </w:rPr>
      </w:pPr>
    </w:p>
    <w:p>
      <w:pPr>
        <w:spacing w:line="6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关于开设湖南师范大学202</w:t>
      </w:r>
      <w:r>
        <w:rPr>
          <w:rFonts w:hint="eastAsia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年微型课程</w:t>
      </w:r>
    </w:p>
    <w:p>
      <w:pPr>
        <w:widowControl/>
        <w:spacing w:after="100" w:afterAutospacing="1" w:line="6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《东亚近代文化与东亚论》的通知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各相关学院：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为深化研究生课程建设改革，拓宽研究生知识面，优化研究生知识结构，提高研究生培养质量，经学院申请、研究生院审核，拟开设微型课程《东亚近代文化与东亚论》,现将相关工作通知如下：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Cs/>
          <w:sz w:val="32"/>
          <w:szCs w:val="32"/>
          <w:lang w:val="en-US" w:eastAsia="zh-CN"/>
        </w:rPr>
      </w:pPr>
      <w:r>
        <w:rPr>
          <w:rFonts w:hint="eastAsia" w:eastAsia="黑体" w:cs="Times New Roman"/>
          <w:bCs/>
          <w:sz w:val="32"/>
          <w:szCs w:val="32"/>
          <w:lang w:val="en-US" w:eastAsia="zh-CN"/>
        </w:rPr>
        <w:t>一、</w:t>
      </w:r>
      <w:r>
        <w:rPr>
          <w:rFonts w:hint="default" w:ascii="Times New Roman" w:hAnsi="Times New Roman" w:eastAsia="黑体" w:cs="Times New Roman"/>
          <w:bCs/>
          <w:sz w:val="32"/>
          <w:szCs w:val="32"/>
        </w:rPr>
        <w:t>课程介绍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通过本课程的开设，让相关学科研究生了解当下学术前沿，熟悉东亚文化领域学术研究动态，了解东亚文化的核心概念与基本构架，深入认知东亚学建构的基本理论问题与论域，进而培养研究生学术研究的问题意识与方法论意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二、开课时间及开课地点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24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开课时间：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2023年11月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8日至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12月8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开课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地点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中和楼611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三、授课对象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亚非语言文学、朝鲜语翻译硕士、区域国别学研究生为主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四、课程考核与学分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课程考核按普通课程要求进行，考核合格，可计1学分，可兑换培养计划内任意选修课学分。每位学生计入培养计划的微型课程总学分数原则上不超过2学分。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五、报名要求及流程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楷体" w:cs="Times New Roman"/>
          <w:sz w:val="32"/>
          <w:szCs w:val="32"/>
          <w:lang w:val="en-US" w:eastAsia="zh-CN"/>
        </w:rPr>
        <w:t xml:space="preserve">1.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报名要求及起止时间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微型课程网上报名学生需满足以下要求：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本校研究生；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学生本学期已完成学期注册并通过院系审核；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学生必须已提交培养计划并通过导师审核；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报名起止时间为202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日-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</w:rPr>
      </w:pPr>
      <w:r>
        <w:rPr>
          <w:rFonts w:hint="eastAsia" w:eastAsia="楷体" w:cs="Times New Roman"/>
          <w:sz w:val="32"/>
          <w:szCs w:val="32"/>
          <w:lang w:val="en-US" w:eastAsia="zh-CN"/>
        </w:rPr>
        <w:t xml:space="preserve">2. </w:t>
      </w:r>
      <w:r>
        <w:rPr>
          <w:rFonts w:hint="eastAsia" w:ascii="仿宋_GB2312" w:hAnsi="仿宋_GB2312" w:eastAsia="仿宋_GB2312" w:cs="仿宋_GB2312"/>
          <w:sz w:val="32"/>
          <w:szCs w:val="32"/>
        </w:rPr>
        <w:t>操作流程详见附件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六、其它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“研究生微型课程”是我校研究生课程教学改革的重要举措，开课学院应高度重视该项工作，将课程开课情况及时通知研究生，并积极组织研究生选修微型课程。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开课学院应指派专人负责微型课程的管理，做好接受报名、课程安排、教学管理和成绩录入等工作。微型课程结束后需提交课程总结一份，具体内容参考附件5。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研究生选修微型课程后，应服从开设课程学院管理人员和任课教师的管理，全程认真参与课程授课，自觉遵守教学纪律和考核纪律。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附件：1.主讲教师简介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600" w:firstLineChars="5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2.课程实施方案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600" w:firstLineChars="5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3.课程教学大纲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600" w:firstLineChars="5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4.网上选课操作流程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600" w:firstLineChars="5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5.课程总结材料清单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600" w:firstLineChars="5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left="0" w:right="0"/>
        <w:jc w:val="righ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研究生院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left="0" w:right="0"/>
        <w:jc w:val="righ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202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月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00" w:afterAutospacing="1" w:line="60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主讲教师简介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2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白永瑞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韩国首尔国立大学东洋史学系文学博士，现为延世大学文学院历史系荣誉教授。曾任延世大学国学研究院院长、文学院院长，担任韩国重要人文刊物《创作与批评》主编达十年之久，曾在美国哈佛大学、日本多所大学、台湾“中研院”担任高级访问学者和客座教授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2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主要从事领域：中国现代史以及东亚历史与思想。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2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出版学术著作多种，其中：日文2本、中文3本、韩文12种。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2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在韩国、日本和中国相关研究领域权威专家。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2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主要包括：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2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《横观东亚：在核心现场重思东亚历史》（台湾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instrText xml:space="preserve"> HYPERLINK "tel:2016" \t "_blank" </w:instrTex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），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2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『共生への道と核心現場: 實踐課題としての東アジア』(東京,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instrText xml:space="preserve"> HYPERLINK "tel:2016" \t "_blank" </w:instrTex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)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2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 社会人文学之路：作为制度的学术，作为运动的学术》（首尔，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instrText xml:space="preserve"> HYPERLINK "tel:2014" \t "_blank" </w:instrTex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），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2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《在核心现场重思东亚：共生社会之实践课题》（首尔，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instrText xml:space="preserve"> HYPERLINK "tel:2013" \t "_blank" </w:instrTex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），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2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《思想东亚：韩半岛视觉的历史与实践》（台北，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instrText xml:space="preserve"> HYPERLINK "tel:2009" \t "_blank" </w:instrTex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2009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；北京，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instrText xml:space="preserve"> HYPERLINK "tel:2011" \t "_blank" </w:instrTex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），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2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《ポスト〈东アジア〉》（共编）（东京，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instrText xml:space="preserve"> HYPERLINK "tel:2006" \t "_blank" </w:instrTex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2006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），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2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《回归东亚：探索中国的近代性》（首尔，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instrText xml:space="preserve"> HYPERLINK "tel:2000" \t "_blank" </w:instrTex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2000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 等 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2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《东亚谈论的谱系和未来》 首爾：创批，2022年(韩文)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2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专著：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2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1.《中国社会性格论争》(共编)，首尔：创作与批评社，1989(韩文)。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2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2.《中国现代大学文化硏究：认同危机与社会变革》，首尔：一潮阁，1994年(韩文)。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2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3.《东亚：问题与视角》(共编)，首尔：文学与知性社，1995(韩文)。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2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4.《东亚人的「东洋」认识：19-20世纪》(共编)，首尔：文学与知性社，1997(韩文)。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2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5.《作为发现的东亚》(共编)，首尔：文学与知性社，2000年(韩文)。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2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6.《回归东亚：探索中国的近代性》，首尔：创作与批评社，2000年(韩文)。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2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7.《从周边看东亚》(二人共编)，首尔：文学与知性社，2004年(韩文)。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2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8.《东亚的地域秩序：从帝国到共同体》(九人共着)，首尔：创批，2005年(韩文)。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2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9.《ポスト東アジア》(孫歌•白永瑞•陳光興共編)，東京：作品社， 2006年(日文)。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2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10.《东亚进入现代三条路线》(三人共着)，首尔：创批，2009(韩文)。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2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11.《思想东亚：韩半岛视角的历史与实践》，台北：台湾社会研究杂志社，2009年(中文)。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2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12.《思想东亚：朝鲜半岛视角的历史与实践》，北京：三联书店，2011年(中文)。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2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13.《见识台湾：韩国与台湾共寻新径》(二人共编)，首爾：创批，2012年(韩文)。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2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14.《在核心现场重思东亚：共生社会之实践课题》，首爾：创批，2013年(韩文)。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2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15.《社会人文学之路：作为制度的学术，作为运动的学术》，首爾：创批，2014年(韩文)。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2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16.《横观东亚：从核心现场重思东亚歷史》，台北：联经出版社，2016年(中文)。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2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17.《共生への道と核心现场：实践课题としての东アジア》，东京：法政大学出版部，2016年(日文)。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2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18. 《东亚谈论的谱系和未来》 首爾：创批，2022年(韩文)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2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译著：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2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1.朝日新闻采访组着，白永瑞．金杭译，《创造东亚的十个事件》，首尔：创批，2008( 原书《歷史は生きている》，朝日出版社，2007。)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2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2.新崎盛辉着，白永瑞．李Hangyeol译，《冲绳：结构性岐视与抵抗的现场》，首尔：创批，2013( 原书新崎盛晖，《新崎盛晖が说く构造的冲绳差别》，高文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，2013。)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00" w:afterAutospacing="1" w:line="580" w:lineRule="exact"/>
        <w:jc w:val="center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课程实施方案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eastAsia" w:ascii="宋体" w:hAnsi="宋体" w:eastAsia="宋体" w:cs="宋体"/>
          <w:b/>
          <w:color w:val="000000"/>
          <w:position w:val="6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position w:val="6"/>
          <w:sz w:val="28"/>
          <w:szCs w:val="28"/>
        </w:rPr>
        <w:t>课程目的：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eastAsia" w:ascii="宋体" w:hAnsi="宋体" w:eastAsia="宋体" w:cs="宋体"/>
          <w:b/>
          <w:color w:val="000000"/>
          <w:position w:val="6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position w:val="6"/>
          <w:sz w:val="28"/>
          <w:szCs w:val="28"/>
        </w:rPr>
        <w:t xml:space="preserve">    </w:t>
      </w:r>
      <w:r>
        <w:rPr>
          <w:rFonts w:hint="eastAsia" w:ascii="宋体" w:hAnsi="宋体" w:eastAsia="宋体" w:cs="宋体"/>
          <w:color w:val="000000"/>
          <w:position w:val="6"/>
          <w:sz w:val="28"/>
          <w:szCs w:val="28"/>
        </w:rPr>
        <w:t>通过本课程的开设，让相关学科研究生了解当下学术前沿，熟悉东亚文化领域学术研究动态，了解东亚文化的核心概念与基本构架，深入认知东亚学建构的基本理论问题与论域，进而培养研究生学术研究的问题意识与方法论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eastAsia" w:ascii="宋体" w:hAnsi="宋体" w:eastAsia="宋体" w:cs="宋体"/>
          <w:b/>
          <w:color w:val="000000"/>
          <w:position w:val="6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position w:val="6"/>
          <w:sz w:val="28"/>
          <w:szCs w:val="28"/>
        </w:rPr>
        <w:t>课程内容：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position w:val="6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position w:val="6"/>
          <w:sz w:val="28"/>
          <w:szCs w:val="28"/>
        </w:rPr>
        <w:t>本课程的中心内容是从全球本土史（glocal history）的视角重新审视东亚历史和文化。为了让学生了解韩国和洞察东亚连动的历史、文化和未来史，将介绍以下事例：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position w:val="6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position w:val="6"/>
          <w:sz w:val="28"/>
          <w:szCs w:val="28"/>
        </w:rPr>
        <w:t>1）通过两个转折期去理解东亚国际秩序在历史上表现出的连动结构，进而说明朝鲜半岛的位置、作用在全球本土史上具有哪些重要性。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position w:val="6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position w:val="6"/>
          <w:sz w:val="28"/>
          <w:szCs w:val="28"/>
        </w:rPr>
        <w:t>2）通过“青年”和“饮食”去理解跨境的东亚文化，确认杂交（hybrid）文化的重叠性以及韩国文化的动态性。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position w:val="6"/>
          <w:sz w:val="28"/>
          <w:szCs w:val="28"/>
        </w:rPr>
        <w:t>3）超越纷争、矛盾和偏见，构想和平和连带的东亚未来，思考东亚各国的角色以及每个听课学生所能起到的作用。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教学内容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第一讲 连动的东亚与全球本土的（glocal）视角/感受能力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1）在日常生活中体现出全球本土经验的词汇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2）为什么需要全球本土视角：探讨研究东亚/东部亚洲史的可能性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3）整个课程概述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第二讲：连动的东亚国际秩序的历史、结构和行为主体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（一）：壬辰战争与丙子战争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1）东亚秩序是怎样的结构？中心—小中心—边缘的重叠秩序；“变”与“常”的辩证关系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2）东亚的壬辰倭乱和丙子战争：原因和影响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3）造成丙子战争的人们和丙子战争所造就的人们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第三讲：连动的东亚国际秩序的历史、结构和行为主体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（二）：甲午（清日）战争、日俄战争和日本强制合并朝鲜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1）东学农民革命与甲午（清日）战争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2）日俄战争与朝鲜沦为殖民地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3）东亚三国现代化的分岐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第四讲：跨境文化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（一）：从青年的视角看东亚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1）20世纪初朝鲜青年的“诞生”与社会角色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2）20世纪初中国青年和日本青年的“诞生”与社会角色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3）21世纪初青年文化的万花筒：“小确幸”是另类的生活吗？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第五讲：跨境文化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（二）：从食物的视角看东亚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1）炸酱面的世界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2）海鲜面和西餐的世界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3）拉面的世界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4）韩流文化（K-文化）和杂交的“亚流”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第六讲：连动的东亚未来史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1）中韩相互认识的现状和展望：中韩相互嫌恶的情绪和娱乐（游戏）型民族主义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2）韩日相互认识的现状和展望：韩日相互嫌恶的情绪和“旧金山体制”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3）我的韩国史/东亚史/世界史，未来计划：“做历史”（doing history）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参考书目：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白永瑞，《思想东亚：朝鲜半岛视角的历史与实践》，北京：三联书店，2011年。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白永瑞，《横观东亚：从核心现场重思东亚历史》，台北：联经出版社，2016年。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宋念申，《发现东亚：朝鲜半岛视角的历史与实践》，北京：新星出版社，2018年。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葛兆光，《亚洲史的研究方法》，北京：商务印书馆，2022年。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*后续会给学生提供各个主题的详细参考书目。</w:t>
      </w:r>
    </w:p>
    <w:p>
      <w:pPr>
        <w:spacing w:line="360" w:lineRule="exact"/>
        <w:rPr>
          <w:rFonts w:hint="eastAsia" w:ascii="宋体" w:hAnsi="宋体" w:eastAsia="宋体" w:cs="宋体"/>
          <w:b/>
          <w:color w:val="000000"/>
          <w:position w:val="6"/>
          <w:sz w:val="24"/>
        </w:rPr>
      </w:pPr>
    </w:p>
    <w:p>
      <w:pPr>
        <w:spacing w:line="360" w:lineRule="exact"/>
        <w:rPr>
          <w:rFonts w:hint="eastAsia" w:ascii="宋体" w:hAnsi="宋体" w:eastAsia="宋体" w:cs="宋体"/>
          <w:b/>
          <w:color w:val="000000"/>
          <w:position w:val="6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position w:val="6"/>
          <w:sz w:val="28"/>
          <w:szCs w:val="28"/>
        </w:rPr>
        <w:t>教学计划：</w:t>
      </w:r>
      <w:r>
        <w:rPr>
          <w:rFonts w:hint="eastAsia" w:ascii="宋体" w:hAnsi="宋体" w:eastAsia="宋体" w:cs="宋体"/>
          <w:color w:val="000000"/>
          <w:position w:val="6"/>
          <w:sz w:val="28"/>
          <w:szCs w:val="28"/>
        </w:rPr>
        <w:t xml:space="preserve"> </w:t>
      </w:r>
    </w:p>
    <w:p>
      <w:pPr>
        <w:spacing w:line="360" w:lineRule="exact"/>
        <w:rPr>
          <w:rFonts w:hint="eastAsia" w:ascii="宋体" w:hAnsi="宋体" w:eastAsia="宋体" w:cs="宋体"/>
          <w:b/>
          <w:color w:val="000000"/>
          <w:position w:val="6"/>
          <w:sz w:val="24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260"/>
        <w:gridCol w:w="1134"/>
        <w:gridCol w:w="709"/>
        <w:gridCol w:w="1134"/>
        <w:gridCol w:w="1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position w:val="6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position w:val="6"/>
                <w:sz w:val="20"/>
              </w:rPr>
              <w:t>序号</w:t>
            </w:r>
          </w:p>
        </w:tc>
        <w:tc>
          <w:tcPr>
            <w:tcW w:w="326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position w:val="6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position w:val="6"/>
                <w:sz w:val="20"/>
              </w:rPr>
              <w:t>课程内容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position w:val="6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position w:val="6"/>
                <w:sz w:val="20"/>
              </w:rPr>
              <w:t>课堂讲课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position w:val="6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position w:val="6"/>
                <w:sz w:val="20"/>
              </w:rPr>
              <w:t>实践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position w:val="6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position w:val="6"/>
                <w:sz w:val="20"/>
              </w:rPr>
              <w:t>课堂讨论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position w:val="6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position w:val="6"/>
                <w:sz w:val="20"/>
              </w:rPr>
              <w:t>课外自学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position w:val="6"/>
                <w:sz w:val="20"/>
              </w:rPr>
            </w:pPr>
          </w:p>
        </w:tc>
        <w:tc>
          <w:tcPr>
            <w:tcW w:w="326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position w:val="6"/>
                <w:sz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position w:val="6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position w:val="6"/>
                <w:sz w:val="20"/>
              </w:rPr>
              <w:t>学时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position w:val="6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position w:val="6"/>
                <w:sz w:val="20"/>
              </w:rPr>
              <w:t>学时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position w:val="6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position w:val="6"/>
                <w:sz w:val="20"/>
              </w:rPr>
              <w:t>学时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position w:val="6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position w:val="6"/>
                <w:sz w:val="20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position w:val="6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position w:val="6"/>
                <w:sz w:val="20"/>
              </w:rPr>
              <w:t>1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/>
                <w:color w:val="000000"/>
                <w:position w:val="6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position w:val="6"/>
                <w:sz w:val="20"/>
              </w:rPr>
              <w:t>第一讲 连动的东亚与全球本土的（glocal）视角/感受能力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position w:val="6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position w:val="6"/>
                <w:sz w:val="20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position w:val="6"/>
                <w:sz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position w:val="6"/>
                <w:sz w:val="20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position w:val="6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position w:val="6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position w:val="6"/>
                <w:sz w:val="20"/>
              </w:rPr>
              <w:t>2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b/>
                <w:color w:val="000000"/>
                <w:position w:val="6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position w:val="6"/>
                <w:sz w:val="20"/>
              </w:rPr>
              <w:t>第二讲：连动的东亚国际秩序的历史、结构和行为主体（一）：壬辰、丙子战争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position w:val="6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position w:val="6"/>
                <w:sz w:val="20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position w:val="6"/>
                <w:sz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position w:val="6"/>
                <w:sz w:val="20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position w:val="6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position w:val="6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position w:val="6"/>
                <w:sz w:val="20"/>
              </w:rPr>
              <w:t>3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/>
                <w:color w:val="000000"/>
                <w:position w:val="6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position w:val="6"/>
                <w:sz w:val="20"/>
              </w:rPr>
              <w:t>第三讲：连动的东亚国际秩序的历史、结构和行为主体（二）：甲午（清日）战争、日俄战争和日本强制合并韩国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position w:val="6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position w:val="6"/>
                <w:sz w:val="20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position w:val="6"/>
                <w:sz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position w:val="6"/>
                <w:sz w:val="20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position w:val="6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position w:val="6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position w:val="6"/>
                <w:sz w:val="20"/>
              </w:rPr>
              <w:t>4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/>
                <w:color w:val="000000"/>
                <w:position w:val="6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position w:val="6"/>
                <w:sz w:val="20"/>
              </w:rPr>
              <w:t>第四讲：跨境文化（一）：从青年的视角看东亚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position w:val="6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position w:val="6"/>
                <w:sz w:val="20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position w:val="6"/>
                <w:sz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position w:val="6"/>
                <w:sz w:val="20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position w:val="6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position w:val="6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position w:val="6"/>
                <w:sz w:val="20"/>
              </w:rPr>
              <w:t>5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/>
                <w:color w:val="000000"/>
                <w:position w:val="6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position w:val="6"/>
                <w:sz w:val="20"/>
              </w:rPr>
              <w:t>第五讲：跨境文化（二）：从食物的视角看东亚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position w:val="6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position w:val="6"/>
                <w:sz w:val="20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position w:val="6"/>
                <w:sz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position w:val="6"/>
                <w:sz w:val="20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position w:val="6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position w:val="6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position w:val="6"/>
                <w:sz w:val="20"/>
              </w:rPr>
              <w:t>6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/>
                <w:color w:val="000000"/>
                <w:position w:val="6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position w:val="6"/>
                <w:sz w:val="20"/>
              </w:rPr>
              <w:t>第六讲：连动的东亚未来史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position w:val="6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position w:val="6"/>
                <w:sz w:val="20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position w:val="6"/>
                <w:sz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position w:val="6"/>
                <w:sz w:val="20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position w:val="6"/>
                <w:sz w:val="20"/>
              </w:rPr>
            </w:pPr>
          </w:p>
        </w:tc>
      </w:tr>
    </w:tbl>
    <w:p>
      <w:pPr>
        <w:spacing w:line="360" w:lineRule="exact"/>
        <w:rPr>
          <w:rFonts w:hint="eastAsia" w:ascii="宋体" w:hAnsi="宋体" w:eastAsia="宋体" w:cs="宋体"/>
          <w:b/>
          <w:color w:val="000000"/>
          <w:position w:val="6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课程考核：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平时成绩主要包括答问、课堂表现等，占比40%；期末考核以课程论文形式，占比60%。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学员选拔方法：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以外国语学院相关专业研究生为学员主体。其他专业研究生可自愿参加。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36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36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36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36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spacing w:line="360" w:lineRule="exact"/>
        <w:jc w:val="center"/>
        <w:rPr>
          <w:rFonts w:ascii="宋体" w:hAnsi="宋体" w:cs="宋体"/>
          <w:color w:val="333333"/>
          <w:kern w:val="0"/>
          <w:szCs w:val="21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课程</w:t>
      </w:r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教学大纲</w:t>
      </w:r>
    </w:p>
    <w:p>
      <w:pPr>
        <w:widowControl/>
        <w:adjustRightInd w:val="0"/>
        <w:snapToGrid w:val="0"/>
        <w:jc w:val="left"/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widowControl/>
        <w:snapToGrid w:val="0"/>
        <w:jc w:val="center"/>
        <w:rPr>
          <w:rFonts w:hint="eastAsia" w:ascii="宋体" w:hAnsi="宋体" w:cs="宋体"/>
          <w:b/>
          <w:bCs/>
          <w:color w:val="000000"/>
          <w:kern w:val="0"/>
          <w:sz w:val="30"/>
          <w:szCs w:val="30"/>
          <w:lang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  <w:lang w:eastAsia="zh-CN"/>
        </w:rPr>
        <w:t xml:space="preserve"> 《东亚近代文化与东亚论》课程教学大纲</w:t>
      </w:r>
    </w:p>
    <w:p>
      <w:pPr>
        <w:widowControl/>
        <w:adjustRightInd w:val="0"/>
        <w:snapToGrid w:val="0"/>
        <w:ind w:firstLine="417" w:firstLineChars="198"/>
        <w:jc w:val="left"/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</w:pPr>
    </w:p>
    <w:p>
      <w:pPr>
        <w:widowControl/>
        <w:spacing w:line="360" w:lineRule="atLeast"/>
        <w:jc w:val="center"/>
        <w:rPr>
          <w:rFonts w:hint="default"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第一部分</w:t>
      </w:r>
      <w:r>
        <w:rPr>
          <w:rFonts w:hint="default" w:ascii="宋体" w:hAnsi="宋体" w:cs="宋体"/>
          <w:b/>
          <w:bCs/>
          <w:color w:val="000000"/>
          <w:kern w:val="0"/>
          <w:sz w:val="28"/>
          <w:szCs w:val="28"/>
        </w:rPr>
        <w:t> 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大纲说明</w:t>
      </w:r>
    </w:p>
    <w:p>
      <w:pPr>
        <w:widowControl/>
        <w:adjustRightInd w:val="0"/>
        <w:snapToGrid w:val="0"/>
        <w:ind w:firstLine="477" w:firstLineChars="198"/>
        <w:jc w:val="left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1．课程代码：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W00000035</w:t>
      </w:r>
    </w:p>
    <w:p>
      <w:pPr>
        <w:widowControl/>
        <w:adjustRightInd w:val="0"/>
        <w:snapToGrid w:val="0"/>
        <w:ind w:firstLine="477" w:firstLineChars="198"/>
        <w:jc w:val="left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2．课程类型：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任意选修课</w:t>
      </w:r>
    </w:p>
    <w:p>
      <w:pPr>
        <w:widowControl/>
        <w:adjustRightInd w:val="0"/>
        <w:snapToGrid w:val="0"/>
        <w:ind w:firstLine="477" w:firstLineChars="198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3．开课时间：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2023-2024学年秋季学期：11月28日至12月8日</w:t>
      </w:r>
    </w:p>
    <w:p>
      <w:pPr>
        <w:widowControl/>
        <w:adjustRightInd w:val="0"/>
        <w:snapToGrid w:val="0"/>
        <w:ind w:firstLine="477" w:firstLineChars="198"/>
        <w:jc w:val="left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4．课程目标：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本课程的中心内容是从全球本土史（glocal history）的视角重新审视东亚历史和文化。通过本课程的开设，让相关学科研究生了解当下学术前沿，熟悉东亚文化领域学术研究动态，了解东亚近代文化的核心概念与基本构架，深入认知东亚论建构的基本理论问题与论域，进而培养研究生学术研究的问题意识与方法论意识。</w:t>
      </w:r>
    </w:p>
    <w:p>
      <w:pPr>
        <w:widowControl/>
        <w:adjustRightInd w:val="0"/>
        <w:snapToGrid w:val="0"/>
        <w:ind w:firstLine="477" w:firstLineChars="198"/>
        <w:jc w:val="left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5．面向学科：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亚非语言文学、朝鲜语翻译、区域国别研究生为主</w:t>
      </w:r>
    </w:p>
    <w:p>
      <w:pPr>
        <w:widowControl/>
        <w:adjustRightInd w:val="0"/>
        <w:snapToGrid w:val="0"/>
        <w:ind w:firstLine="477" w:firstLineChars="198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6．考核方式：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平时成绩主要包括答问、课堂表现等，占比40%；期末考核以课程论文形式，占比60%。</w:t>
      </w:r>
    </w:p>
    <w:p>
      <w:pPr>
        <w:widowControl/>
        <w:adjustRightInd w:val="0"/>
        <w:snapToGrid w:val="0"/>
        <w:ind w:firstLine="477" w:firstLineChars="198"/>
        <w:jc w:val="left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7．预修课程：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韩国历史、日本史、中国历史与文化</w:t>
      </w:r>
    </w:p>
    <w:p>
      <w:pPr>
        <w:widowControl/>
        <w:adjustRightInd w:val="0"/>
        <w:snapToGrid w:val="0"/>
        <w:ind w:firstLine="477" w:firstLineChars="198"/>
        <w:jc w:val="left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8. 教学方式：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课堂讲课和课堂讨论</w:t>
      </w:r>
    </w:p>
    <w:p>
      <w:pPr>
        <w:widowControl/>
        <w:adjustRightInd w:val="0"/>
        <w:snapToGrid w:val="0"/>
        <w:ind w:firstLine="477" w:firstLineChars="198"/>
        <w:jc w:val="left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9．学时学分：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16学时，1学分</w:t>
      </w:r>
    </w:p>
    <w:p>
      <w:pPr>
        <w:widowControl/>
        <w:adjustRightInd w:val="0"/>
        <w:snapToGrid w:val="0"/>
        <w:ind w:firstLine="420" w:firstLineChars="150"/>
        <w:jc w:val="left"/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</w:pPr>
    </w:p>
    <w:tbl>
      <w:tblPr>
        <w:tblStyle w:val="6"/>
        <w:tblW w:w="80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260"/>
        <w:gridCol w:w="1134"/>
        <w:gridCol w:w="709"/>
        <w:gridCol w:w="1134"/>
        <w:gridCol w:w="1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position w:val="6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position w:val="6"/>
                <w:szCs w:val="21"/>
              </w:rPr>
              <w:t>序号</w:t>
            </w:r>
          </w:p>
        </w:tc>
        <w:tc>
          <w:tcPr>
            <w:tcW w:w="326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position w:val="6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position w:val="6"/>
                <w:szCs w:val="21"/>
              </w:rPr>
              <w:t>课程内容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position w:val="6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position w:val="6"/>
                <w:szCs w:val="21"/>
              </w:rPr>
              <w:t>课堂讲课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position w:val="6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position w:val="6"/>
                <w:szCs w:val="21"/>
              </w:rPr>
              <w:t>实践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position w:val="6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position w:val="6"/>
                <w:szCs w:val="21"/>
              </w:rPr>
              <w:t>课堂讨论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position w:val="6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position w:val="6"/>
                <w:szCs w:val="21"/>
              </w:rPr>
              <w:t>课外自学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326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position w:val="6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position w:val="6"/>
                <w:szCs w:val="21"/>
              </w:rPr>
              <w:t>学时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position w:val="6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position w:val="6"/>
                <w:szCs w:val="21"/>
              </w:rPr>
              <w:t>学时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position w:val="6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position w:val="6"/>
                <w:szCs w:val="21"/>
              </w:rPr>
              <w:t>学时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position w:val="6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position w:val="6"/>
                <w:szCs w:val="21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color w:val="000000"/>
                <w:position w:val="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position w:val="6"/>
                <w:sz w:val="20"/>
                <w:szCs w:val="20"/>
              </w:rPr>
              <w:t>第一讲：连动的东亚与全球本土的（glocal）视角/感受能力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position w:val="6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position w:val="6"/>
                <w:szCs w:val="21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color w:val="000000"/>
                <w:position w:val="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position w:val="6"/>
                <w:sz w:val="20"/>
                <w:szCs w:val="20"/>
              </w:rPr>
              <w:t>第二讲：连动的东亚国际秩序的历史、结构和行为主体（一）：壬辰倭乱与丙子胡乱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position w:val="6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position w:val="6"/>
                <w:szCs w:val="21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position w:val="6"/>
                <w:sz w:val="20"/>
                <w:szCs w:val="20"/>
              </w:rPr>
              <w:t>第三讲：连动的东亚国际秩序的历史、结构和行为主体（二）：甲午（清日）战争、日俄战争和日本强制合并韩国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position w:val="6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position w:val="6"/>
                <w:szCs w:val="21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/>
                <w:color w:val="000000"/>
                <w:position w:val="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position w:val="6"/>
                <w:sz w:val="20"/>
                <w:szCs w:val="20"/>
              </w:rPr>
              <w:t>第四讲：跨境文化（一）：从青年的视角看东亚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position w:val="6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position w:val="6"/>
                <w:szCs w:val="21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/>
                <w:color w:val="000000"/>
                <w:position w:val="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position w:val="6"/>
                <w:sz w:val="20"/>
                <w:szCs w:val="20"/>
              </w:rPr>
              <w:t>第五讲：跨境文化（二）：从食物的视角看东亚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position w:val="6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position w:val="6"/>
                <w:szCs w:val="21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/>
                <w:color w:val="000000"/>
                <w:position w:val="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position w:val="6"/>
                <w:sz w:val="20"/>
                <w:szCs w:val="20"/>
              </w:rPr>
              <w:t>第六讲：连动的东亚未来史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position w:val="6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position w:val="6"/>
                <w:szCs w:val="21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position w:val="6"/>
                <w:szCs w:val="21"/>
              </w:rPr>
            </w:pPr>
          </w:p>
        </w:tc>
      </w:tr>
    </w:tbl>
    <w:p>
      <w:pPr>
        <w:widowControl/>
        <w:adjustRightInd w:val="0"/>
        <w:snapToGrid w:val="0"/>
        <w:ind w:firstLine="422" w:firstLineChars="15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  <w:t>10.教材及教学参考资料：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adjustRightInd w:val="0"/>
        <w:snapToGrid w:val="0"/>
        <w:spacing w:line="400" w:lineRule="exact"/>
        <w:ind w:firstLine="480" w:firstLineChars="200"/>
        <w:jc w:val="left"/>
        <w:rPr>
          <w:rFonts w:hint="eastAsia"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cs="Times New Roman"/>
          <w:color w:val="000000"/>
          <w:kern w:val="0"/>
          <w:sz w:val="24"/>
          <w:szCs w:val="24"/>
        </w:rPr>
        <w:t>教材： 《思想东亚》白永瑞 北京三联书店 2011年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adjustRightInd w:val="0"/>
        <w:snapToGrid w:val="0"/>
        <w:spacing w:line="400" w:lineRule="exact"/>
        <w:ind w:firstLine="480" w:firstLineChars="200"/>
        <w:jc w:val="left"/>
        <w:rPr>
          <w:rFonts w:hint="eastAsia"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cs="Times New Roman"/>
          <w:color w:val="000000"/>
          <w:kern w:val="0"/>
          <w:sz w:val="24"/>
          <w:szCs w:val="24"/>
        </w:rPr>
        <w:t>参考书目：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adjustRightInd w:val="0"/>
        <w:snapToGrid w:val="0"/>
        <w:spacing w:line="400" w:lineRule="exact"/>
        <w:ind w:firstLine="480" w:firstLineChars="200"/>
        <w:jc w:val="left"/>
        <w:rPr>
          <w:rFonts w:hint="eastAsia"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cs="Times New Roman"/>
          <w:color w:val="000000"/>
          <w:kern w:val="0"/>
          <w:sz w:val="24"/>
          <w:szCs w:val="24"/>
        </w:rPr>
        <w:t>白永瑞，《思想东亚：朝鲜半岛视角的历史与实践》，北京：三联书店，2011年。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adjustRightInd w:val="0"/>
        <w:snapToGrid w:val="0"/>
        <w:spacing w:line="400" w:lineRule="exact"/>
        <w:ind w:firstLine="480" w:firstLineChars="200"/>
        <w:jc w:val="left"/>
        <w:rPr>
          <w:rFonts w:hint="eastAsia"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cs="Times New Roman"/>
          <w:color w:val="000000"/>
          <w:kern w:val="0"/>
          <w:sz w:val="24"/>
          <w:szCs w:val="24"/>
        </w:rPr>
        <w:t>白永瑞，《横观东亚：从核心现场重思东亚历史》，台北：联经出版社，2016年。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adjustRightInd w:val="0"/>
        <w:snapToGrid w:val="0"/>
        <w:spacing w:line="400" w:lineRule="exact"/>
        <w:ind w:firstLine="480" w:firstLineChars="200"/>
        <w:jc w:val="left"/>
        <w:rPr>
          <w:rFonts w:hint="eastAsia"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cs="Times New Roman"/>
          <w:color w:val="000000"/>
          <w:kern w:val="0"/>
          <w:sz w:val="24"/>
          <w:szCs w:val="24"/>
        </w:rPr>
        <w:t>宋念申，《发现东亚：朝鲜半岛视角的历史与实践》，北京：新星出版社，2018年。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adjustRightInd w:val="0"/>
        <w:snapToGrid w:val="0"/>
        <w:spacing w:line="400" w:lineRule="exact"/>
        <w:ind w:firstLine="480" w:firstLineChars="200"/>
        <w:jc w:val="left"/>
        <w:rPr>
          <w:rFonts w:hint="eastAsia"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cs="Times New Roman"/>
          <w:color w:val="000000"/>
          <w:kern w:val="0"/>
          <w:sz w:val="24"/>
          <w:szCs w:val="24"/>
        </w:rPr>
        <w:t xml:space="preserve">葛兆光，《亚洲史的研究方法》，北京：商务印书馆，2022年。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adjustRightInd w:val="0"/>
        <w:snapToGrid w:val="0"/>
        <w:spacing w:line="400" w:lineRule="exact"/>
        <w:ind w:firstLine="480" w:firstLineChars="200"/>
        <w:jc w:val="left"/>
        <w:rPr>
          <w:rFonts w:hint="eastAsia"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cs="Times New Roman"/>
          <w:color w:val="000000"/>
          <w:kern w:val="0"/>
          <w:sz w:val="24"/>
          <w:szCs w:val="24"/>
        </w:rPr>
        <w:t>*后续会给学生提供各个主题的详细参考书目。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第二部分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</w:rPr>
        <w:t> 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教学内容和教学要求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Times New Roman" w:hAnsi="Times New Roman" w:cs="Times New Roman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color w:val="000000"/>
          <w:kern w:val="0"/>
          <w:sz w:val="24"/>
          <w:szCs w:val="24"/>
          <w:lang w:val="en-US" w:eastAsia="zh-CN"/>
        </w:rPr>
        <w:t>1.教学内容：本课程讲授能够洞察东亚联动的历史、文化、未来史的事例。从‘连动的东亚’的视角，思考1919年中国的五四运动与韩国的三一运动，深入探讨东亚的‘另类现代性’，尤其是民主主义在东亚的历史经验。理解东亚国際历史中出现的动态结构,可以明确说明韩半岛的位置/作用的地球地区史的重要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Times New Roman" w:hAnsi="Times New Roman" w:cs="Times New Roman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color w:val="000000"/>
          <w:kern w:val="0"/>
          <w:sz w:val="24"/>
          <w:szCs w:val="24"/>
          <w:lang w:val="en-US" w:eastAsia="zh-CN"/>
        </w:rPr>
        <w:t>2.教学目的：通过本课程的开设，让相关学科研究生了解当下学术前沿，熟悉东亚文化领域学术研究动态，了解东亚文化的核心概念与基本构架，深入认知东亚学建构的基本理论问题与论域，进而培养研究生学术研究的问题意识与方法论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2" w:firstLineChars="200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3.教学安排：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2" w:firstLineChars="200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第一讲 连动的东亚与全球本土的（glocal）视角/感受能力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Times New Roman" w:hAnsi="Times New Roman" w:eastAsia="宋体" w:cs="Times New Roman"/>
          <w:b w:val="0"/>
          <w:bCs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</w:rPr>
        <w:t>1）在日常生活中体现出全球本土经验的词汇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Times New Roman" w:hAnsi="Times New Roman" w:eastAsia="宋体" w:cs="Times New Roman"/>
          <w:b w:val="0"/>
          <w:bCs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</w:rPr>
        <w:t>2）为什么需要全球本土视角：探讨研究东亚/东部亚洲史的可能性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Times New Roman" w:hAnsi="Times New Roman" w:eastAsia="宋体" w:cs="Times New Roman"/>
          <w:b w:val="0"/>
          <w:bCs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</w:rPr>
        <w:t>3）整个课程概述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2" w:firstLineChars="200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第二讲：连动的东亚国际秩序的历史、结构和行为主体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Times New Roman" w:hAnsi="Times New Roman" w:eastAsia="宋体" w:cs="Times New Roman"/>
          <w:b w:val="0"/>
          <w:bCs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</w:rPr>
        <w:t>1）东亚秩序是怎样的结构？中心—小中心—边缘的重叠秩序；“变”与“常”的辩证关系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Times New Roman" w:hAnsi="Times New Roman" w:eastAsia="宋体" w:cs="Times New Roman"/>
          <w:b w:val="0"/>
          <w:bCs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</w:rPr>
        <w:t xml:space="preserve">2）东亚的壬辰倭乱和丙子战争：原因和影响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Times New Roman" w:hAnsi="Times New Roman" w:eastAsia="宋体" w:cs="Times New Roman"/>
          <w:b w:val="0"/>
          <w:bCs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</w:rPr>
        <w:t>3）造成丙子战争的人们和丙子战争所造就的人们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2" w:firstLineChars="200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第三讲：连动的东亚国际秩序的历史、结构和行为主体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Times New Roman" w:hAnsi="Times New Roman" w:eastAsia="宋体" w:cs="Times New Roman"/>
          <w:b w:val="0"/>
          <w:bCs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</w:rPr>
        <w:t>1）东学农民革命与甲午（清日）战争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Times New Roman" w:hAnsi="Times New Roman" w:eastAsia="宋体" w:cs="Times New Roman"/>
          <w:b w:val="0"/>
          <w:bCs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</w:rPr>
        <w:t>2）日俄战争与朝鲜沦为殖民地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Times New Roman" w:hAnsi="Times New Roman" w:eastAsia="宋体" w:cs="Times New Roman"/>
          <w:b w:val="0"/>
          <w:bCs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</w:rPr>
        <w:t xml:space="preserve">3）东亚三国现代化的分岐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2" w:firstLineChars="200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第四讲：跨境文化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Times New Roman" w:hAnsi="Times New Roman" w:eastAsia="宋体" w:cs="Times New Roman"/>
          <w:b w:val="0"/>
          <w:bCs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</w:rPr>
        <w:t xml:space="preserve">1）20世纪初朝鲜青年的“诞生”与社会角色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Times New Roman" w:hAnsi="Times New Roman" w:eastAsia="宋体" w:cs="Times New Roman"/>
          <w:b w:val="0"/>
          <w:bCs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</w:rPr>
        <w:t xml:space="preserve">2）20世纪初中国青年和日本青年的“诞生”与社会角色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Times New Roman" w:hAnsi="Times New Roman" w:eastAsia="宋体" w:cs="Times New Roman"/>
          <w:b w:val="0"/>
          <w:bCs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</w:rPr>
        <w:t xml:space="preserve">3）21世纪初青年文化的万花筒：“小确幸”是另类的生活吗？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2" w:firstLineChars="200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第五讲：跨境文化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Times New Roman" w:hAnsi="Times New Roman" w:eastAsia="宋体" w:cs="Times New Roman"/>
          <w:b w:val="0"/>
          <w:bCs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</w:rPr>
        <w:t>1）炸酱面的世界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Times New Roman" w:hAnsi="Times New Roman" w:eastAsia="宋体" w:cs="Times New Roman"/>
          <w:b w:val="0"/>
          <w:bCs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</w:rPr>
        <w:t>2）海鲜面和西餐的世界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Times New Roman" w:hAnsi="Times New Roman" w:eastAsia="宋体" w:cs="Times New Roman"/>
          <w:b w:val="0"/>
          <w:bCs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</w:rPr>
        <w:t>3）拉面的世界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Times New Roman" w:hAnsi="Times New Roman" w:eastAsia="宋体" w:cs="Times New Roman"/>
          <w:b w:val="0"/>
          <w:bCs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</w:rPr>
        <w:t xml:space="preserve">4）韩流文化（K-文化）和杂交的“亚流”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2" w:firstLineChars="200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 xml:space="preserve">第六讲：连动的东亚未来史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Times New Roman" w:hAnsi="Times New Roman" w:eastAsia="宋体" w:cs="Times New Roman"/>
          <w:b w:val="0"/>
          <w:bCs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</w:rPr>
        <w:t xml:space="preserve">1）中韩相互认识的现状和展望：中韩相互嫌恶的情绪和娱乐（游戏）型民族主义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Times New Roman" w:hAnsi="Times New Roman" w:eastAsia="宋体" w:cs="Times New Roman"/>
          <w:b w:val="0"/>
          <w:bCs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</w:rPr>
        <w:t xml:space="preserve">2）韩日相互认识的现状和展望：韩日相互嫌恶的情绪和“旧金山体制”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Times New Roman" w:hAnsi="Times New Roman" w:eastAsia="宋体" w:cs="Times New Roman"/>
          <w:b w:val="0"/>
          <w:bCs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</w:rPr>
        <w:t>3）我的韩国史/东亚史/世界史，未来计划：“做历史”（doing history）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2" w:firstLineChars="200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</w:rPr>
      </w:pPr>
    </w:p>
    <w:p>
      <w:pPr>
        <w:spacing w:before="156" w:beforeLines="50" w:after="156" w:afterLines="50"/>
        <w:ind w:left="70" w:leftChars="-100" w:hanging="280" w:hangingChars="100"/>
        <w:rPr>
          <w:rFonts w:hint="eastAsia" w:ascii="仿宋" w:hAnsi="仿宋" w:eastAsia="仿宋" w:cs="宋体"/>
          <w:color w:val="000000"/>
          <w:sz w:val="28"/>
          <w:szCs w:val="28"/>
          <w:shd w:val="clear" w:color="auto" w:fill="FDFDFD"/>
        </w:rPr>
      </w:pPr>
    </w:p>
    <w:p>
      <w:pPr>
        <w:spacing w:before="156" w:beforeLines="50" w:after="156" w:afterLines="50"/>
        <w:ind w:left="70" w:leftChars="-100" w:hanging="280" w:hangingChars="100"/>
        <w:rPr>
          <w:rFonts w:hint="eastAsia" w:ascii="仿宋" w:hAnsi="仿宋" w:eastAsia="仿宋" w:cs="宋体"/>
          <w:color w:val="000000"/>
          <w:sz w:val="28"/>
          <w:szCs w:val="28"/>
          <w:shd w:val="clear" w:color="auto" w:fill="FDFDFD"/>
        </w:rPr>
      </w:pPr>
    </w:p>
    <w:p>
      <w:pPr>
        <w:widowControl/>
        <w:adjustRightInd w:val="0"/>
        <w:snapToGrid w:val="0"/>
        <w:ind w:firstLine="415" w:firstLineChars="198"/>
        <w:jc w:val="left"/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spacing w:line="36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36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36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36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36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36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36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36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36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36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36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36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36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36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36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附件4</w:t>
      </w:r>
    </w:p>
    <w:p>
      <w:pPr>
        <w:jc w:val="center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bookmarkStart w:id="0" w:name="_Hlk56603376"/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微型课程网上选课操作流程</w:t>
      </w:r>
    </w:p>
    <w:bookmarkEnd w:id="0"/>
    <w:p>
      <w:pPr>
        <w:jc w:val="center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11"/>
        <w:ind w:firstLine="0" w:firstLineChars="0"/>
        <w:rPr>
          <w:rFonts w:hint="default" w:ascii="Times New Roman" w:hAnsi="Times New Roman" w:eastAsia="华文仿宋" w:cs="Times New Roman"/>
          <w:sz w:val="30"/>
          <w:szCs w:val="30"/>
        </w:rPr>
      </w:pPr>
      <w:r>
        <w:rPr>
          <w:rFonts w:hint="default" w:ascii="Times New Roman" w:hAnsi="Times New Roman" w:eastAsia="华文仿宋" w:cs="Times New Roman"/>
          <w:sz w:val="30"/>
          <w:szCs w:val="30"/>
        </w:rPr>
        <w:t>一、登录学生界面。</w:t>
      </w:r>
    </w:p>
    <w:p>
      <w:pPr>
        <w:pStyle w:val="11"/>
        <w:ind w:firstLine="0" w:firstLineChars="0"/>
        <w:rPr>
          <w:rFonts w:hint="default" w:ascii="Times New Roman" w:hAnsi="Times New Roman" w:eastAsia="华文仿宋" w:cs="Times New Roman"/>
          <w:sz w:val="30"/>
          <w:szCs w:val="30"/>
        </w:rPr>
      </w:pPr>
      <w:r>
        <w:rPr>
          <w:rFonts w:hint="default" w:ascii="Times New Roman" w:hAnsi="Times New Roman" w:cs="Times New Roman"/>
          <w:kern w:val="0"/>
          <w:sz w:val="24"/>
        </w:rPr>
        <w:drawing>
          <wp:inline distT="0" distB="0" distL="114300" distR="114300">
            <wp:extent cx="5238750" cy="2999740"/>
            <wp:effectExtent l="0" t="0" r="0" b="1016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99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ind w:firstLine="0" w:firstLineChars="0"/>
        <w:rPr>
          <w:rFonts w:hint="default" w:ascii="Times New Roman" w:hAnsi="Times New Roman" w:eastAsia="华文仿宋" w:cs="Times New Roman"/>
          <w:sz w:val="30"/>
          <w:szCs w:val="30"/>
        </w:rPr>
      </w:pPr>
      <w:r>
        <w:rPr>
          <w:rFonts w:hint="default" w:ascii="Times New Roman" w:hAnsi="Times New Roman" w:eastAsia="华文仿宋" w:cs="Times New Roman"/>
          <w:sz w:val="30"/>
          <w:szCs w:val="30"/>
        </w:rPr>
        <w:t>二、依次点击“培养管理”-&gt;“学生网上选课”。</w:t>
      </w:r>
    </w:p>
    <w:p>
      <w:pPr>
        <w:pStyle w:val="11"/>
        <w:ind w:firstLine="0" w:firstLineChars="0"/>
        <w:rPr>
          <w:rFonts w:hint="default" w:ascii="Times New Roman" w:hAnsi="Times New Roman" w:eastAsia="华文仿宋" w:cs="Times New Roman"/>
          <w:sz w:val="30"/>
          <w:szCs w:val="30"/>
        </w:rPr>
      </w:pPr>
      <w:r>
        <w:rPr>
          <w:rFonts w:hint="default" w:ascii="Times New Roman" w:hAnsi="Times New Roman" w:cs="Times New Roman"/>
          <w:kern w:val="0"/>
          <w:sz w:val="24"/>
        </w:rPr>
        <w:drawing>
          <wp:inline distT="0" distB="0" distL="114300" distR="114300">
            <wp:extent cx="5257800" cy="3402965"/>
            <wp:effectExtent l="0" t="0" r="0" b="698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40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ind w:firstLine="0" w:firstLineChars="0"/>
        <w:rPr>
          <w:rFonts w:hint="default" w:ascii="Times New Roman" w:hAnsi="Times New Roman" w:eastAsia="华文仿宋" w:cs="Times New Roman"/>
          <w:sz w:val="30"/>
          <w:szCs w:val="30"/>
        </w:rPr>
      </w:pPr>
      <w:r>
        <w:rPr>
          <w:rFonts w:hint="default" w:ascii="Times New Roman" w:hAnsi="Times New Roman" w:eastAsia="华文仿宋" w:cs="Times New Roman"/>
          <w:sz w:val="30"/>
          <w:szCs w:val="30"/>
        </w:rPr>
        <w:t>三、找到课程，点击“选课”，进行选课。</w:t>
      </w:r>
    </w:p>
    <w:p>
      <w:pPr>
        <w:pStyle w:val="11"/>
        <w:ind w:firstLine="0" w:firstLineChars="0"/>
        <w:rPr>
          <w:rFonts w:hint="default" w:ascii="Times New Roman" w:hAnsi="Times New Roman" w:eastAsia="华文仿宋" w:cs="Times New Roman"/>
          <w:sz w:val="30"/>
          <w:szCs w:val="30"/>
        </w:rPr>
      </w:pPr>
      <w:r>
        <w:rPr>
          <w:rFonts w:hint="default" w:ascii="Times New Roman" w:hAnsi="Times New Roman" w:eastAsia="华文仿宋" w:cs="Times New Roman"/>
          <w:sz w:val="30"/>
          <w:szCs w:val="30"/>
        </w:rPr>
        <w:drawing>
          <wp:inline distT="0" distB="0" distL="114300" distR="114300">
            <wp:extent cx="5274310" cy="2816225"/>
            <wp:effectExtent l="0" t="0" r="2540" b="3175"/>
            <wp:docPr id="3" name="图片 4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图片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1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ind w:firstLine="0" w:firstLineChars="0"/>
        <w:rPr>
          <w:rFonts w:hint="default" w:ascii="Times New Roman" w:hAnsi="Times New Roman" w:eastAsia="华文仿宋" w:cs="Times New Roman"/>
          <w:sz w:val="30"/>
          <w:szCs w:val="30"/>
        </w:rPr>
      </w:pPr>
      <w:r>
        <w:rPr>
          <w:rFonts w:hint="default" w:ascii="Times New Roman" w:hAnsi="Times New Roman" w:eastAsia="华文仿宋" w:cs="Times New Roman"/>
          <w:sz w:val="30"/>
          <w:szCs w:val="30"/>
        </w:rPr>
        <w:t>四、选课成功后，等待研究生院审核，审核通过后，学生可在“选课结果查询”中查到该门课程。</w:t>
      </w:r>
    </w:p>
    <w:p>
      <w:pPr>
        <w:pStyle w:val="11"/>
        <w:ind w:firstLine="0" w:firstLineChars="0"/>
        <w:rPr>
          <w:rFonts w:hint="default" w:ascii="Times New Roman" w:hAnsi="Times New Roman" w:eastAsia="华文仿宋" w:cs="Times New Roman"/>
          <w:sz w:val="30"/>
          <w:szCs w:val="30"/>
        </w:rPr>
      </w:pPr>
      <w:r>
        <w:rPr>
          <w:rFonts w:hint="default" w:ascii="Times New Roman" w:hAnsi="Times New Roman" w:eastAsia="华文仿宋" w:cs="Times New Roman"/>
          <w:sz w:val="30"/>
          <w:szCs w:val="30"/>
        </w:rPr>
        <w:drawing>
          <wp:inline distT="0" distB="0" distL="114300" distR="114300">
            <wp:extent cx="5274945" cy="2781935"/>
            <wp:effectExtent l="0" t="0" r="1905" b="18415"/>
            <wp:docPr id="4" name="图片 6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 descr="图片2"/>
                    <pic:cNvPicPr>
                      <a:picLocks noChangeAspect="1"/>
                    </pic:cNvPicPr>
                  </pic:nvPicPr>
                  <pic:blipFill>
                    <a:blip r:embed="rId8"/>
                    <a:srcRect t="10860" r="-157" b="4630"/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278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ind w:firstLine="0" w:firstLineChars="0"/>
        <w:rPr>
          <w:rFonts w:hint="default" w:ascii="Times New Roman" w:hAnsi="Times New Roman" w:eastAsia="华文仿宋" w:cs="Times New Roman"/>
          <w:sz w:val="30"/>
          <w:szCs w:val="30"/>
        </w:rPr>
      </w:pPr>
    </w:p>
    <w:p>
      <w:pPr>
        <w:spacing w:line="480" w:lineRule="exac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480" w:lineRule="exac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480" w:lineRule="exac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sz w:val="32"/>
          <w:szCs w:val="40"/>
        </w:rPr>
      </w:pPr>
    </w:p>
    <w:p>
      <w:pPr>
        <w:spacing w:line="36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附件5</w:t>
      </w:r>
    </w:p>
    <w:p>
      <w:pPr>
        <w:jc w:val="center"/>
        <w:rPr>
          <w:rFonts w:hint="default" w:ascii="Times New Roman" w:hAnsi="Times New Roman" w:eastAsia="仿宋" w:cs="Times New Roman"/>
          <w:sz w:val="32"/>
          <w:szCs w:val="40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40"/>
        </w:rPr>
        <w:t>微型课程总结材料清单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2308"/>
        <w:gridCol w:w="2504"/>
        <w:gridCol w:w="2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</w:rPr>
              <w:t>序号</w:t>
            </w:r>
          </w:p>
        </w:tc>
        <w:tc>
          <w:tcPr>
            <w:tcW w:w="230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</w:rPr>
              <w:t>内容</w:t>
            </w:r>
          </w:p>
        </w:tc>
        <w:tc>
          <w:tcPr>
            <w:tcW w:w="250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</w:rPr>
              <w:t>电子版或纸质版</w:t>
            </w:r>
          </w:p>
        </w:tc>
        <w:tc>
          <w:tcPr>
            <w:tcW w:w="271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230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</w:rPr>
              <w:t>开课通知</w:t>
            </w:r>
          </w:p>
        </w:tc>
        <w:tc>
          <w:tcPr>
            <w:tcW w:w="250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71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230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</w:rPr>
              <w:t>课程课表</w:t>
            </w:r>
          </w:p>
        </w:tc>
        <w:tc>
          <w:tcPr>
            <w:tcW w:w="250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71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230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</w:rPr>
              <w:t>选修名单</w:t>
            </w:r>
          </w:p>
        </w:tc>
        <w:tc>
          <w:tcPr>
            <w:tcW w:w="250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71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230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</w:rPr>
              <w:t>课程作业</w:t>
            </w:r>
          </w:p>
        </w:tc>
        <w:tc>
          <w:tcPr>
            <w:tcW w:w="250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71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230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</w:rPr>
              <w:t>课程成绩单</w:t>
            </w:r>
          </w:p>
        </w:tc>
        <w:tc>
          <w:tcPr>
            <w:tcW w:w="250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71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</w:rPr>
              <w:t>6</w:t>
            </w:r>
          </w:p>
        </w:tc>
        <w:tc>
          <w:tcPr>
            <w:tcW w:w="230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</w:rPr>
              <w:t>课程小结</w:t>
            </w:r>
          </w:p>
        </w:tc>
        <w:tc>
          <w:tcPr>
            <w:tcW w:w="250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71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</w:rPr>
              <w:t>7</w:t>
            </w:r>
          </w:p>
        </w:tc>
        <w:tc>
          <w:tcPr>
            <w:tcW w:w="230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</w:rPr>
              <w:t>学生心得</w:t>
            </w:r>
          </w:p>
        </w:tc>
        <w:tc>
          <w:tcPr>
            <w:tcW w:w="250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71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</w:rPr>
              <w:t>8</w:t>
            </w:r>
          </w:p>
        </w:tc>
        <w:tc>
          <w:tcPr>
            <w:tcW w:w="230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</w:rPr>
              <w:t>课程照片</w:t>
            </w:r>
          </w:p>
        </w:tc>
        <w:tc>
          <w:tcPr>
            <w:tcW w:w="250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71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</w:rPr>
              <w:t>9</w:t>
            </w:r>
          </w:p>
        </w:tc>
        <w:tc>
          <w:tcPr>
            <w:tcW w:w="230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</w:rPr>
              <w:t>意见建议</w:t>
            </w:r>
          </w:p>
        </w:tc>
        <w:tc>
          <w:tcPr>
            <w:tcW w:w="250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71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32"/>
              </w:rPr>
            </w:pPr>
          </w:p>
        </w:tc>
      </w:tr>
    </w:tbl>
    <w:p>
      <w:pPr>
        <w:spacing w:line="480" w:lineRule="exac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</w:rPr>
      </w:pPr>
    </w:p>
    <w:p/>
    <w:p>
      <w:pPr>
        <w:rPr>
          <w:rFonts w:hint="eastAsia" w:eastAsia="宋体"/>
          <w:lang w:eastAsia="zh-CN"/>
        </w:rPr>
      </w:pPr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P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Gulim"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-161290</wp:posOffset>
              </wp:positionV>
              <wp:extent cx="552450" cy="292735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2450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-12.7pt;height:23.05pt;width:43.5pt;mso-position-horizontal:outside;mso-position-horizontal-relative:margin;z-index:251659264;mso-width-relative:page;mso-height-relative:page;" filled="f" stroked="f" coordsize="21600,21600" o:gfxdata="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MJf9B9YAAAAGAQAADwAAAAAAAAABACAAAAAiAAAAZHJzL2Rvd25yZXYu&#10;eG1sUEsBAhQAFAAAAAgAh07iQO5csHvEAQAAfwMAAA4AAAAAAAAAAQAgAAAAJQ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0Y2JmYzAzOWIxYjk4MjNhMmNjZGEzYzQ4NDA5NGEifQ=="/>
  </w:docVars>
  <w:rsids>
    <w:rsidRoot w:val="34285A4A"/>
    <w:rsid w:val="05171224"/>
    <w:rsid w:val="09A94ED9"/>
    <w:rsid w:val="118509F3"/>
    <w:rsid w:val="11B55A63"/>
    <w:rsid w:val="124C51BC"/>
    <w:rsid w:val="1FBA4F8F"/>
    <w:rsid w:val="298D7483"/>
    <w:rsid w:val="2FFF1F29"/>
    <w:rsid w:val="32D13BDA"/>
    <w:rsid w:val="34285A4A"/>
    <w:rsid w:val="37D52F49"/>
    <w:rsid w:val="396B4F3D"/>
    <w:rsid w:val="40BD5F47"/>
    <w:rsid w:val="43DA3607"/>
    <w:rsid w:val="47846887"/>
    <w:rsid w:val="5658440D"/>
    <w:rsid w:val="5BA36BAA"/>
    <w:rsid w:val="61783004"/>
    <w:rsid w:val="61ED0E47"/>
    <w:rsid w:val="7423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</w:pPr>
    <w:rPr>
      <w:rFonts w:ascii="MS PGothic" w:hAnsi="MS PGothic" w:eastAsia="MS PGothic" w:cs="MS PGothic"/>
      <w:kern w:val="0"/>
      <w:lang w:eastAsia="ja-JP"/>
    </w:rPr>
  </w:style>
  <w:style w:type="paragraph" w:styleId="5">
    <w:name w:val="Body Text First Indent 2"/>
    <w:basedOn w:val="2"/>
    <w:unhideWhenUsed/>
    <w:qFormat/>
    <w:uiPriority w:val="99"/>
    <w:pPr>
      <w:ind w:firstLine="420" w:firstLineChars="200"/>
    </w:pPr>
    <w:rPr>
      <w:rFonts w:ascii="Times New Roman" w:hAnsi="Times New Roman" w:eastAsia="宋体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unhideWhenUsed/>
    <w:qFormat/>
    <w:uiPriority w:val="99"/>
    <w:rPr>
      <w:color w:val="0000FF"/>
      <w:u w:val="none"/>
    </w:rPr>
  </w:style>
  <w:style w:type="paragraph" w:customStyle="1" w:styleId="10">
    <w:name w:val="각주"/>
    <w:basedOn w:val="1"/>
    <w:qFormat/>
    <w:uiPriority w:val="0"/>
    <w:pPr>
      <w:wordWrap w:val="0"/>
      <w:autoSpaceDE w:val="0"/>
      <w:autoSpaceDN w:val="0"/>
      <w:spacing w:line="312" w:lineRule="auto"/>
      <w:ind w:left="524" w:hanging="262"/>
      <w:textAlignment w:val="baseline"/>
    </w:pPr>
    <w:rPr>
      <w:rFonts w:ascii="Gulim" w:hAnsi="Gulim" w:eastAsia="Gulim" w:cs="Gulim"/>
      <w:color w:val="000000"/>
      <w:kern w:val="0"/>
      <w:sz w:val="18"/>
      <w:szCs w:val="18"/>
      <w:lang w:eastAsia="ko-KR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5005</Words>
  <Characters>5326</Characters>
  <Lines>0</Lines>
  <Paragraphs>0</Paragraphs>
  <TotalTime>42</TotalTime>
  <ScaleCrop>false</ScaleCrop>
  <LinksUpToDate>false</LinksUpToDate>
  <CharactersWithSpaces>5417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2023-11-14T08:33:00Z</dcterms:created>
  <dc:creator>LENOVO</dc:creator>
  <cp:lastModifiedBy>六木</cp:lastModifiedBy>
  <cp:lastPrinted>2023-11-24T10:24:00Z</cp:lastPrinted>
  <dcterms:modified xsi:type="dcterms:W3CDTF">2023-11-24T11:08:45Z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4FF45DBD315D4DFFBD43B88B8DBCCC54_13</vt:lpwstr>
  </property>
</Properties>
</file>